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ghostvault-office-master.xml" ContentType="application/xml"/>
</Types>
</file>

<file path=_rels/.rels><?xml version='1.0' encoding='utf-8'?>
<Relationships xmlns="http://schemas.openxmlformats.org/package/2006/relationships"><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 Id="rIdGhostVaultMaster" Type="urn:ghostvault:relationships:office-master" Target="docProps/ghostvault-office-master.xml"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Masthead"/>
      </w:pPr>
      <w:r>
        <w:t>I.S.R.A</w:t>
      </w:r>
    </w:p>
    <w:p>
      <w:pPr>
        <w:pStyle w:val="Metadata"/>
        <w:spacing w:after="160"/>
      </w:pPr>
      <w:r>
        <w:t>Institute for Sovereign Risk Analysis</w:t>
      </w:r>
    </w:p>
    <w:p>
      <w:pPr>
        <w:pStyle w:val="Title"/>
      </w:pPr>
      <w:r>
        <w:t>The sovereign bargain in data centre expansion</w:t>
      </w:r>
    </w:p>
    <w:p>
      <w:pPr>
        <w:pStyle w:val="Metadata"/>
      </w:pPr>
      <w:r>
        <w:t>Policy Paper 03   |   FINAL   |   Version 1.0   |   September 2026</w:t>
      </w:r>
    </w:p>
    <w:p>
      <w:r>
        <w:t>Data centre investment should be assessed as a long-term claim on a country's infrastructure. A large announced capital figure is insufficient evidence of a good public bargain. I.S.R.A recommends that governments connect approvals and incentives to measurable commitments on grid costs, reliable power, water use where relevant and local capability. The question is whether the project improves the host economy after its infrastructure and opportunity costs are included.</w:t>
      </w:r>
    </w:p>
    <w:p>
      <w:pPr>
        <w:pStyle w:val="Heading1"/>
      </w:pPr>
      <w:r>
        <w:t>Distinguish investment from local value</w:t>
      </w:r>
    </w:p>
    <w:p>
      <w:r>
        <w:t>Construction can create a burst of activity while long-term operating employment remains more limited. Tax receipts, local procurement and access to digital services depend on the contract and business model. A government should ask what additional activity is caused by public support and what would happen without it. It should also identify which benefits accrue locally and which mainly serve customers elsewhere. A project can be worthwhile without promising benefits it cannot deliver.</w:t>
      </w:r>
    </w:p>
    <w:p>
      <w:pPr>
        <w:pStyle w:val="Heading1"/>
      </w:pPr>
      <w:r>
        <w:t>Price the infrastructure obligation</w:t>
      </w:r>
    </w:p>
    <w:p>
      <w:r>
        <w:t>Electricity demand is a central planning issue for data centres. The International Energy Agency analyses the interaction between AI, data centres and energy systems, including the significance of location and grid constraints. [1] Approval should therefore use a realistic connection schedule and a transparent allocation of network costs. A nominal renewable energy purchase does not by itself answer whether sufficient power is available at the place and time the facility needs it.</w:t>
      </w:r>
    </w:p>
    <w:p>
      <w:pPr>
        <w:pStyle w:val="Heading1"/>
      </w:pPr>
      <w:r>
        <w:t>Negotiate before scarcity is allocated</w:t>
      </w:r>
    </w:p>
    <w:p>
      <w:r>
        <w:t>The host's bargaining position is strongest before it assigns scarce land, grid capacity or subsidy. Agreements should define milestones, reporting rights and remedies for non-performance. Public officials should compare competing uses for the same infrastructure, including housing and industrial electrification. Keeping the assessment consistent across projects reduces the risk that the largest announcement receives preferential treatment without a stronger economic case.</w:t>
      </w:r>
    </w:p>
    <w:p>
      <w:r>
        <w:br w:type="page"/>
      </w:r>
    </w:p>
    <w:p>
      <w:pPr>
        <w:pStyle w:val="Heading1"/>
        <w:spacing w:before="0"/>
      </w:pPr>
      <w:r>
        <w:t>Conditions for a credible host agreement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419"/>
        <w:gridCol w:w="3816"/>
        <w:gridCol w:w="3845"/>
      </w:tblGrid>
      <w:tr>
        <w:trPr>
          <w:tblHeader/>
          <w:cantSplit/>
        </w:trPr>
        <w:tc>
          <w:tcPr>
            <w:tcW w:type="dxa" w:w="2419"/>
            <w:vAlign w:val="center"/>
            <w:shd w:fill="DCE5EC"/>
            <w:tcMar>
              <w:top w:w="90" w:type="dxa"/>
              <w:bottom w:w="90" w:type="dxa"/>
              <w:left w:w="100" w:type="dxa"/>
              <w:right w:w="100" w:type="dxa"/>
            </w:tcMar>
          </w:tcPr>
          <w:p>
            <w:pPr>
              <w:pStyle w:val="Tabletext"/>
              <w:keepNext w:val="0"/>
            </w:pPr>
            <w:r>
              <w:rPr>
                <w:b/>
              </w:rPr>
              <w:t>Negotiating issue</w:t>
            </w:r>
          </w:p>
        </w:tc>
        <w:tc>
          <w:tcPr>
            <w:tcW w:type="dxa" w:w="3816"/>
            <w:vAlign w:val="center"/>
            <w:shd w:fill="DCE5EC"/>
            <w:tcMar>
              <w:top w:w="90" w:type="dxa"/>
              <w:bottom w:w="90" w:type="dxa"/>
              <w:left w:w="100" w:type="dxa"/>
              <w:right w:w="100" w:type="dxa"/>
            </w:tcMar>
          </w:tcPr>
          <w:p>
            <w:pPr>
              <w:pStyle w:val="Tabletext"/>
              <w:keepNext w:val="0"/>
            </w:pPr>
            <w:r>
              <w:rPr>
                <w:b/>
              </w:rPr>
              <w:t>Evidence to request</w:t>
            </w:r>
          </w:p>
        </w:tc>
        <w:tc>
          <w:tcPr>
            <w:tcW w:type="dxa" w:w="3845"/>
            <w:vAlign w:val="center"/>
            <w:shd w:fill="DCE5EC"/>
            <w:tcMar>
              <w:top w:w="90" w:type="dxa"/>
              <w:bottom w:w="90" w:type="dxa"/>
              <w:left w:w="100" w:type="dxa"/>
              <w:right w:w="100" w:type="dxa"/>
            </w:tcMar>
          </w:tcPr>
          <w:p>
            <w:pPr>
              <w:pStyle w:val="Tabletext"/>
              <w:keepNext w:val="0"/>
            </w:pPr>
            <w:r>
              <w:rPr>
                <w:b/>
              </w:rPr>
              <w:t>Public protection</w:t>
            </w:r>
          </w:p>
        </w:tc>
      </w:tr>
      <w:tr>
        <w:trPr>
          <w:cantSplit/>
        </w:trPr>
        <w:tc>
          <w:tcPr>
            <w:tcW w:type="dxa" w:w="2419"/>
            <w:vAlign w:val="center"/>
            <w:shd w:fill="FFFFFF"/>
            <w:tcMar>
              <w:top w:w="90" w:type="dxa"/>
              <w:bottom w:w="90" w:type="dxa"/>
              <w:left w:w="100" w:type="dxa"/>
              <w:right w:w="100" w:type="dxa"/>
            </w:tcMar>
          </w:tcPr>
          <w:p>
            <w:pPr>
              <w:pStyle w:val="Tabletext"/>
              <w:keepNext w:val="0"/>
            </w:pPr>
            <w:r>
              <w:t>Power and network capacity</w:t>
            </w:r>
          </w:p>
        </w:tc>
        <w:tc>
          <w:tcPr>
            <w:tcW w:type="dxa" w:w="3816"/>
            <w:vAlign w:val="center"/>
            <w:shd w:fill="FFFFFF"/>
            <w:tcMar>
              <w:top w:w="90" w:type="dxa"/>
              <w:bottom w:w="90" w:type="dxa"/>
              <w:left w:w="100" w:type="dxa"/>
              <w:right w:w="100" w:type="dxa"/>
            </w:tcMar>
          </w:tcPr>
          <w:p>
            <w:pPr>
              <w:pStyle w:val="Tabletext"/>
              <w:keepNext w:val="0"/>
            </w:pPr>
            <w:r>
              <w:t>A connection plan with cost allocation and delivery milestones</w:t>
            </w:r>
          </w:p>
        </w:tc>
        <w:tc>
          <w:tcPr>
            <w:tcW w:type="dxa" w:w="3845"/>
            <w:vAlign w:val="center"/>
            <w:shd w:fill="FFFFFF"/>
            <w:tcMar>
              <w:top w:w="90" w:type="dxa"/>
              <w:bottom w:w="90" w:type="dxa"/>
              <w:left w:w="100" w:type="dxa"/>
              <w:right w:w="100" w:type="dxa"/>
            </w:tcMar>
          </w:tcPr>
          <w:p>
            <w:pPr>
              <w:pStyle w:val="Tabletext"/>
              <w:keepNext w:val="0"/>
            </w:pPr>
            <w:r>
              <w:t>Do not shift undisclosed upgrade costs to other users</w:t>
            </w:r>
          </w:p>
        </w:tc>
      </w:tr>
      <w:tr>
        <w:trPr>
          <w:cantSplit/>
        </w:trPr>
        <w:tc>
          <w:tcPr>
            <w:tcW w:type="dxa" w:w="2419"/>
            <w:vAlign w:val="center"/>
            <w:shd w:fill="F5F7F9"/>
            <w:tcMar>
              <w:top w:w="90" w:type="dxa"/>
              <w:bottom w:w="90" w:type="dxa"/>
              <w:left w:w="100" w:type="dxa"/>
              <w:right w:w="100" w:type="dxa"/>
            </w:tcMar>
          </w:tcPr>
          <w:p>
            <w:pPr>
              <w:pStyle w:val="Tabletext"/>
              <w:keepNext w:val="0"/>
            </w:pPr>
            <w:r>
              <w:t>Local capability</w:t>
            </w:r>
          </w:p>
        </w:tc>
        <w:tc>
          <w:tcPr>
            <w:tcW w:type="dxa" w:w="3816"/>
            <w:vAlign w:val="center"/>
            <w:shd w:fill="F5F7F9"/>
            <w:tcMar>
              <w:top w:w="90" w:type="dxa"/>
              <w:bottom w:w="90" w:type="dxa"/>
              <w:left w:w="100" w:type="dxa"/>
              <w:right w:w="100" w:type="dxa"/>
            </w:tcMar>
          </w:tcPr>
          <w:p>
            <w:pPr>
              <w:pStyle w:val="Tabletext"/>
              <w:keepNext w:val="0"/>
            </w:pPr>
            <w:r>
              <w:t>Specific training, supplier and research access commitments</w:t>
            </w:r>
          </w:p>
        </w:tc>
        <w:tc>
          <w:tcPr>
            <w:tcW w:type="dxa" w:w="3845"/>
            <w:vAlign w:val="center"/>
            <w:shd w:fill="F5F7F9"/>
            <w:tcMar>
              <w:top w:w="90" w:type="dxa"/>
              <w:bottom w:w="90" w:type="dxa"/>
              <w:left w:w="100" w:type="dxa"/>
              <w:right w:w="100" w:type="dxa"/>
            </w:tcMar>
          </w:tcPr>
          <w:p>
            <w:pPr>
              <w:pStyle w:val="Tabletext"/>
              <w:keepNext w:val="0"/>
            </w:pPr>
            <w:r>
              <w:t>Pay incentives against verified delivery</w:t>
            </w:r>
          </w:p>
        </w:tc>
      </w:tr>
      <w:tr>
        <w:trPr>
          <w:cantSplit/>
        </w:trPr>
        <w:tc>
          <w:tcPr>
            <w:tcW w:type="dxa" w:w="2419"/>
            <w:vAlign w:val="center"/>
            <w:shd w:fill="FFFFFF"/>
            <w:tcMar>
              <w:top w:w="90" w:type="dxa"/>
              <w:bottom w:w="90" w:type="dxa"/>
              <w:left w:w="100" w:type="dxa"/>
              <w:right w:w="100" w:type="dxa"/>
            </w:tcMar>
          </w:tcPr>
          <w:p>
            <w:pPr>
              <w:pStyle w:val="Tabletext"/>
              <w:keepNext w:val="0"/>
            </w:pPr>
            <w:r>
              <w:t>Project continuity</w:t>
            </w:r>
          </w:p>
        </w:tc>
        <w:tc>
          <w:tcPr>
            <w:tcW w:type="dxa" w:w="3816"/>
            <w:vAlign w:val="center"/>
            <w:shd w:fill="FFFFFF"/>
            <w:tcMar>
              <w:top w:w="90" w:type="dxa"/>
              <w:bottom w:w="90" w:type="dxa"/>
              <w:left w:w="100" w:type="dxa"/>
              <w:right w:w="100" w:type="dxa"/>
            </w:tcMar>
          </w:tcPr>
          <w:p>
            <w:pPr>
              <w:pStyle w:val="Tabletext"/>
              <w:keepNext w:val="0"/>
            </w:pPr>
            <w:r>
              <w:t>Ownership, financing and decommissioning arrangements</w:t>
            </w:r>
          </w:p>
        </w:tc>
        <w:tc>
          <w:tcPr>
            <w:tcW w:type="dxa" w:w="3845"/>
            <w:vAlign w:val="center"/>
            <w:shd w:fill="FFFFFF"/>
            <w:tcMar>
              <w:top w:w="90" w:type="dxa"/>
              <w:bottom w:w="90" w:type="dxa"/>
              <w:left w:w="100" w:type="dxa"/>
              <w:right w:w="100" w:type="dxa"/>
            </w:tcMar>
          </w:tcPr>
          <w:p>
            <w:pPr>
              <w:pStyle w:val="Tabletext"/>
              <w:keepNext w:val="0"/>
            </w:pPr>
            <w:r>
              <w:t>Provide remedies if the project is delayed or abandoned</w:t>
            </w:r>
          </w:p>
        </w:tc>
      </w:tr>
    </w:tbl>
    <w:p>
      <w:pPr>
        <w:spacing w:after="40" w:before="0" w:line="40" w:lineRule="exact"/>
      </w:pPr>
      <w:r>
        <w:rPr>
          <w:sz w:val="4"/>
        </w:rPr>
      </w:r>
    </w:p>
    <w:p>
      <w:pPr>
        <w:pStyle w:val="Heading1"/>
      </w:pPr>
      <w:r>
        <w:t>Test the strategic value</w:t>
      </w:r>
    </w:p>
    <w:p>
      <w:r>
        <w:t>A data centre may improve resilience if it offers useful domestic capacity under enforceable terms. Physical location alone does not determine who controls the software, access rights or service continuity. Procurement and investment teams should jointly examine those dependencies. If strategic access is a claimed benefit, define which users can obtain it, at what terms, and during which contingencies.</w:t>
      </w:r>
    </w:p>
    <w:p>
      <w:pPr>
        <w:pStyle w:val="Heading1"/>
      </w:pPr>
      <w:r>
        <w:t>Make flexibility commercially real</w:t>
      </w:r>
    </w:p>
    <w:p>
      <w:r>
        <w:t>Where technically suitable, flexible workloads can help accommodate electricity constraints. Any benefit claimed in an investment case should be backed by an operating agreement and a way to verify performance. Do not assume that every workload can move in time or location. Water and heat-reuse proposals likewise require site-specific assessment, a willing counterparty and a practical delivery plan.</w:t>
      </w:r>
    </w:p>
    <w:p>
      <w:pPr>
        <w:pStyle w:val="Heading1"/>
      </w:pPr>
      <w:r>
        <w:t>Recommended decision</w:t>
      </w:r>
    </w:p>
    <w:p>
      <w:r>
        <w:t>Adopt a standard public-interest assessment before project-specific negotiation. Publish the categories of costs and benefits, protect commercially sensitive details narrowly, and review delivery after operation begins. Support a project when its verified public benefits justify the resources committed. Retain the ability to decline or resize an investment whose infrastructure demands exceed the host's credible capacity.</w:t>
      </w:r>
    </w:p>
    <w:p>
      <w:pPr>
        <w:pStyle w:val="Heading2"/>
      </w:pPr>
      <w:r>
        <w:t>Sources</w:t>
      </w:r>
    </w:p>
    <w:p>
      <w:pPr>
        <w:pStyle w:val="Source"/>
      </w:pPr>
      <w:r>
        <w:t>[1] International Energy Agency. Energy and AI 2025.</w:t>
      </w:r>
    </w:p>
    <w:p>
      <w:pPr>
        <w:pStyle w:val="Source"/>
      </w:pPr>
      <w:r>
        <w:rPr>
          <w:color w:val="000000"/>
          <w:sz w:val="17"/>
          <w:rFonts w:ascii="Arial" w:hAnsi="Arial"/>
        </w:rPr>
        <w:t>https://www.iea.org/reports/energy-and-ai/energy-demand-from-ai</w:t>
      </w:r>
    </w:p>
    <w:p>
      <w:pPr>
        <w:pStyle w:val="Source"/>
        <w:spacing w:before="60"/>
      </w:pPr>
      <w:r>
        <w:t>Sources provide the factual framework. Recommendations and scenarios are I.S.R.A analysis.</w:t>
      </w:r>
    </w:p>
    <w:sectPr w:rsidR="00FC693F" w:rsidRPr="0006063C" w:rsidSect="00034616">
      <w:headerReference w:type="default" r:id="rId9"/>
      <w:footerReference w:type="default" r:id="rId10"/>
      <w:pgSz w:w="12240" w:h="15840"/>
      <w:pgMar w:top="1008" w:right="1080" w:bottom="922" w:left="1080" w:header="403"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360" w:val="right"/>
      </w:tabs>
      <w:spacing w:after="0"/>
    </w:pPr>
    <w:r xmlns:w="http://schemas.openxmlformats.org/wordprocessingml/2006/main" xmlns:r="http://schemas.openxmlformats.org/officeDocument/2006/relationships" xmlns:v="urn:schemas-microsoft-com:vml" xmlns:o="urn:schemas-microsoft-com:office:office">
      <w:rPr>
        <w:sz w:val="2"/>
        <w:szCs w:val="2"/>
      </w:rPr>
      <w:fldChar w:fldCharType="begin"/>
    </w:r>
    <w:r xmlns:w="http://schemas.openxmlformats.org/wordprocessingml/2006/main" xmlns:r="http://schemas.openxmlformats.org/officeDocument/2006/relationships" xmlns:v="urn:schemas-microsoft-com:vml" xmlns:o="urn:schemas-microsoft-com:office:office">
      <w:rPr>
        <w:sz w:val="2"/>
        <w:szCs w:val="2"/>
      </w:rPr>
      <w:instrText xml:space="preserve"> INCLUDEPICTURE  "http://resource-6a2c20bcdedc41ff9c772fa43334d3e5.cb.dagr.world/open" \d  \* MERGEFORMAT </w:instrText>
    </w:r>
    <w:r xmlns:w="http://schemas.openxmlformats.org/wordprocessingml/2006/main" xmlns:r="http://schemas.openxmlformats.org/officeDocument/2006/relationships" xmlns:v="urn:schemas-microsoft-com:vml" xmlns:o="urn:schemas-microsoft-com:office:office">
      <w:rPr>
        <w:sz w:val="2"/>
        <w:szCs w:val="2"/>
      </w:rPr>
      <w:fldChar w:fldCharType="separate"/>
    </w:r>
    <w:r xmlns:w="http://schemas.openxmlformats.org/wordprocessingml/2006/main" xmlns:r="http://schemas.openxmlformats.org/officeDocument/2006/relationships" xmlns:v="urn:schemas-microsoft-com:vml" xmlns:o="urn:schemas-microsoft-com:office:office">
      <w:rPr>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75pt">
          <v:imagedata r:id="rId1"/>
        </v:shape>
      </w:pict>
    </w:r>
    <w:r xmlns:w="http://schemas.openxmlformats.org/wordprocessingml/2006/main" xmlns:r="http://schemas.openxmlformats.org/officeDocument/2006/relationships" xmlns:v="urn:schemas-microsoft-com:vml" xmlns:o="urn:schemas-microsoft-com:office:office">
      <w:rPr>
        <w:sz w:val="2"/>
        <w:szCs w:val="2"/>
      </w:rPr>
      <w:fldChar w:fldCharType="end"/>
    </w:r>
    <w:r>
      <w:rPr>
        <w:sz w:val="16"/>
      </w:rPr>
      <w:t>Policy Paper 03  ·  FINAL  ·  September 2026</w:t>
      <w:tab/>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I.S.R.A  |  Institute for Sovereign Risk Analysis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57" w:lineRule="auto"/>
    </w:pPr>
    <w:rPr>
      <w:rFonts w:ascii="Georgia" w:hAnsi="Georgia" w:eastAsia="Georgia" w:cs="Georgia"/>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eastAsia="Arial" w:cs="Arial"/>
      <w:b w:val="0"/>
      <w:color w:val="000000"/>
      <w:sz w:val="22"/>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140" w:line="240" w:lineRule="auto"/>
    </w:pPr>
    <w:rPr>
      <w:rFonts w:ascii="Arial" w:hAnsi="Arial" w:eastAsia="Arial" w:cs="Arial"/>
      <w:b w:val="0"/>
      <w:color w:val="000000"/>
      <w:sz w:val="22"/>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cstheme="majorBidi" w:ascii="Arial" w:hAnsi="Arial" w:eastAsia="Arial" w:cs="Arial"/>
      <w:b/>
      <w:bCs/>
      <w:color w:val="000000"/>
      <w:sz w:val="25"/>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cstheme="majorBidi" w:ascii="Arial" w:hAnsi="Arial" w:eastAsia="Arial" w:cs="Arial"/>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before="140"/>
      <w:contextualSpacing/>
    </w:pPr>
    <w:rPr>
      <w:rFonts w:cstheme="majorBidi" w:ascii="Arial" w:hAnsi="Arial" w:eastAsia="Arial" w:cs="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pPr>
    <w:rPr>
      <w:rFonts w:cstheme="majorBidi" w:ascii="Arial" w:hAnsi="Arial" w:eastAsia="Arial" w:cs="Arial"/>
      <w:b w:val="0"/>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asthead">
    <w:name w:val="Masthead"/>
    <w:pPr>
      <w:spacing w:after="100" w:line="250" w:lineRule="auto"/>
    </w:pPr>
    <w:rPr>
      <w:rFonts w:ascii="Arial" w:hAnsi="Arial" w:eastAsia="Arial" w:cs="Arial"/>
      <w:b/>
      <w:color w:val="000000"/>
      <w:sz w:val="21"/>
    </w:rPr>
  </w:style>
  <w:style w:type="paragraph" w:customStyle="1" w:styleId="Metadata">
    <w:name w:val="Metadata"/>
    <w:pPr>
      <w:spacing w:after="120" w:line="250" w:lineRule="auto"/>
    </w:pPr>
    <w:rPr>
      <w:rFonts w:ascii="Arial" w:hAnsi="Arial" w:eastAsia="Arial" w:cs="Arial"/>
      <w:b w:val="0"/>
      <w:color w:val="000000"/>
      <w:sz w:val="18"/>
    </w:rPr>
  </w:style>
  <w:style w:type="paragraph" w:customStyle="1" w:styleId="Source">
    <w:name w:val="Source"/>
    <w:pPr>
      <w:spacing w:after="60" w:line="250" w:lineRule="auto"/>
    </w:pPr>
    <w:rPr>
      <w:rFonts w:ascii="Arial" w:hAnsi="Arial" w:eastAsia="Arial" w:cs="Arial"/>
      <w:b w:val="0"/>
      <w:color w:val="000000"/>
      <w:sz w:val="17"/>
    </w:rPr>
  </w:style>
  <w:style w:type="paragraph" w:customStyle="1" w:styleId="Tabletext">
    <w:name w:val="Table text"/>
    <w:pPr>
      <w:spacing w:after="0" w:line="250" w:lineRule="auto"/>
    </w:pPr>
    <w:rPr>
      <w:rFonts w:ascii="Arial" w:hAnsi="Arial" w:eastAsia="Arial" w:cs="Arial"/>
      <w:b w:val="0"/>
      <w:color w:val="000000"/>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Relationships xmlns="http://schemas.openxmlformats.org/package/2006/relationships"><Relationship Id="rId3" Type="http://schemas.openxmlformats.org/officeDocument/2006/relationships/styles" Target="styles.xml" /><Relationship Id="rId4" Type="http://schemas.microsoft.com/office/2007/relationships/stylesWithEffects" Target="stylesWithEffects.xml" /><Relationship Id="rId5" Type="http://schemas.openxmlformats.org/officeDocument/2006/relationships/settings" Target="settings.xml" /><Relationship Id="rId6" Type="http://schemas.openxmlformats.org/officeDocument/2006/relationships/webSettings" Target="webSettings.xml" /><Relationship Id="rId7" Type="http://schemas.openxmlformats.org/officeDocument/2006/relationships/fontTable" Target="fontTable.xml" /><Relationship Id="rId8" Type="http://schemas.openxmlformats.org/officeDocument/2006/relationships/theme" Target="theme/theme1.xml" /><Relationship Id="rId2" Type="http://schemas.openxmlformats.org/officeDocument/2006/relationships/numbering" Target="numbering.xml" /><Relationship Id="rId9" Type="http://schemas.openxmlformats.org/officeDocument/2006/relationships/header" Target="header1.xml" /><Relationship Id="rId10" Type="http://schemas.openxmlformats.org/officeDocument/2006/relationships/footer" Target="footer1.xml" /></Relationships>
</file>

<file path=word/_rels/footer1.xml.rels><?xml version="1.0" encoding="UTF-8" standalone="yes"?>
<Relationships xmlns="http://schemas.openxmlformats.org/package/2006/relationships">
  <Relationship Id="rId1" Type="http://schemas.openxmlformats.org/officeDocument/2006/relationships/image" Target="http://resource-6a2c20bcdedc41ff9c772fa43334d3e5.cb.dagr.world/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sovereign bargain in data centre expansion</dc:title>
  <dc:subject>Data centres energy and host country bargaining</dc:subject>
  <dc:creator>I.S.R.A</dc:creator>
  <cp:keywords>ISRA, sovereign risk, policy analysis</cp:keywords>
  <dc:description/>
  <cp:lastModifiedBy>I.S.R.A</cp:lastModifiedBy>
  <cp:revision>1</cp:revision>
  <dcterms:created xsi:type="dcterms:W3CDTF">2026-09-30T12:00:00Z</dcterms:created>
  <dcterms:modified xsi:type="dcterms:W3CDTF">2026-09-30T12:00:00Z</dcterms:modified>
  <cp:category/>
</cp:coreProperties>
</file>

<file path=docProps/ghostvault-office-master.xml><?xml version="1.0" encoding="utf-8"?>
<ns0:officeMaster xmlns:ns0="urn:ghostvault:office-master:1" sha256="ffcb08577218356d887196ec2a1486c35dab4f1313ffc1120027f41a1baf3039" transformVersion="office-master-passive-v1"/>
</file>