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ghostvault-office-master.xml" ContentType="application/xml"/>
</Types>
</file>

<file path=_rels/.rels><?xml version='1.0' encoding='utf-8'?>
<Relationships xmlns="http://schemas.openxmlformats.org/package/2006/relationships"><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 Id="rIdGhostVaultMaster" Type="urn:ghostvault:relationships:office-master" Target="docProps/ghostvault-office-master.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Masthead"/>
      </w:pPr>
      <w:r>
        <w:t>I.S.R.A</w:t>
      </w:r>
    </w:p>
    <w:p>
      <w:pPr>
        <w:pStyle w:val="Metadata"/>
        <w:spacing w:after="160"/>
      </w:pPr>
      <w:r>
        <w:t>Institute for Sovereign Risk Analysis</w:t>
      </w:r>
    </w:p>
    <w:p>
      <w:pPr>
        <w:pStyle w:val="Title"/>
      </w:pPr>
      <w:r>
        <w:t>AI as a source of national power</w:t>
      </w:r>
    </w:p>
    <w:p>
      <w:pPr>
        <w:pStyle w:val="Metadata"/>
      </w:pPr>
      <w:r>
        <w:t>Policy Paper 01   |   FINAL   |   Version 1.0   |   September 2026</w:t>
      </w:r>
    </w:p>
    <w:p>
      <w:r>
        <w:t>A government should judge its AI strategy by the capabilities its institutions and firms can use. Access to powerful models matters, but it does not automatically improve public administration, scientific discovery or industrial productivity. I.S.R.A recommends a national programme that funds practical adoption alongside research and infrastructure. Its central test is whether the country can keep important services operating, improve them with evidence, and retain enough technical understanding to negotiate with suppliers.</w:t>
      </w:r>
    </w:p>
    <w:p>
      <w:pPr>
        <w:pStyle w:val="Heading1"/>
      </w:pPr>
      <w:r>
        <w:t>Power depends on adoption</w:t>
      </w:r>
    </w:p>
    <w:p>
      <w:r>
        <w:t>AI can increase a state's capacity to analyse information, translate knowledge and support skilled work. Those benefits depend on reliable data, competent users and organisations willing to change their processes. Purchasing a model without redesigning the work around it can add cost while leaving delays intact. Public bodies should therefore begin with bounded services where outcomes can be measured, such as document triage or research assistance, and retain a human route for consequential decisions. [1]</w:t>
      </w:r>
    </w:p>
    <w:p>
      <w:pPr>
        <w:pStyle w:val="Heading1"/>
      </w:pPr>
      <w:r>
        <w:t>Sovereignty requires practical options</w:t>
      </w:r>
    </w:p>
    <w:p>
      <w:r>
        <w:t>Domestic ownership is one possible source of control. A credible ability to switch providers, export data and operate a reduced service is another. A country that buys all of its technology abroad can still improve its bargaining position through interoperability and skilled procurement. A country that owns a large data centre can remain dependent on foreign chips, maintenance and software. The appropriate ambition is sufficient freedom of action for essential functions, with explicit choices about where dependence is acceptable.</w:t>
      </w:r>
    </w:p>
    <w:p>
      <w:pPr>
        <w:pStyle w:val="Heading1"/>
      </w:pPr>
      <w:r>
        <w:t>Set a disciplined national portfolio</w:t>
      </w:r>
    </w:p>
    <w:p>
      <w:r>
        <w:t>Separate projects that deliver a public service from projects that build scientific capability. The former need service measures and accountable owners. The latter need patient funding, access for researchers and honest assessments of technical uncertainty. A shared procurement function should negotiate portable contracts, while departments remain responsible for benefits and harms in their own services. Avoid making success depend on a single national model or supplier.</w:t>
      </w:r>
    </w:p>
    <w:p>
      <w:r>
        <w:br w:type="page"/>
      </w:r>
    </w:p>
    <w:p>
      <w:pPr>
        <w:pStyle w:val="Heading1"/>
        <w:spacing w:before="0"/>
      </w:pPr>
      <w:r>
        <w:t>Turn capability into measurable public value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19"/>
        <w:gridCol w:w="3816"/>
        <w:gridCol w:w="3845"/>
      </w:tblGrid>
      <w:tr>
        <w:trPr>
          <w:tblHeader/>
          <w:cantSplit/>
        </w:trPr>
        <w:tc>
          <w:tcPr>
            <w:tcW w:type="dxa" w:w="2419"/>
            <w:vAlign w:val="center"/>
            <w:shd w:fill="DCE5EC"/>
            <w:tcMar>
              <w:top w:w="90" w:type="dxa"/>
              <w:bottom w:w="90" w:type="dxa"/>
              <w:left w:w="100" w:type="dxa"/>
              <w:right w:w="100" w:type="dxa"/>
            </w:tcMar>
          </w:tcPr>
          <w:p>
            <w:pPr>
              <w:pStyle w:val="Tabletext"/>
              <w:keepNext w:val="0"/>
            </w:pPr>
            <w:r>
              <w:rPr>
                <w:b/>
              </w:rPr>
              <w:t>Priority</w:t>
            </w:r>
          </w:p>
        </w:tc>
        <w:tc>
          <w:tcPr>
            <w:tcW w:type="dxa" w:w="3816"/>
            <w:vAlign w:val="center"/>
            <w:shd w:fill="DCE5EC"/>
            <w:tcMar>
              <w:top w:w="90" w:type="dxa"/>
              <w:bottom w:w="90" w:type="dxa"/>
              <w:left w:w="100" w:type="dxa"/>
              <w:right w:w="100" w:type="dxa"/>
            </w:tcMar>
          </w:tcPr>
          <w:p>
            <w:pPr>
              <w:pStyle w:val="Tabletext"/>
              <w:keepNext w:val="0"/>
            </w:pPr>
            <w:r>
              <w:rPr>
                <w:b/>
              </w:rPr>
              <w:t>Evidence required</w:t>
            </w:r>
          </w:p>
        </w:tc>
        <w:tc>
          <w:tcPr>
            <w:tcW w:type="dxa" w:w="3845"/>
            <w:vAlign w:val="center"/>
            <w:shd w:fill="DCE5EC"/>
            <w:tcMar>
              <w:top w:w="90" w:type="dxa"/>
              <w:bottom w:w="90" w:type="dxa"/>
              <w:left w:w="100" w:type="dxa"/>
              <w:right w:w="100" w:type="dxa"/>
            </w:tcMar>
          </w:tcPr>
          <w:p>
            <w:pPr>
              <w:pStyle w:val="Tabletext"/>
              <w:keepNext w:val="0"/>
            </w:pPr>
            <w:r>
              <w:rPr>
                <w:b/>
              </w:rPr>
              <w:t>Decision</w:t>
            </w:r>
          </w:p>
        </w:tc>
      </w:tr>
      <w:tr>
        <w:trPr>
          <w:cantSplit/>
        </w:trPr>
        <w:tc>
          <w:tcPr>
            <w:tcW w:type="dxa" w:w="2419"/>
            <w:vAlign w:val="center"/>
            <w:shd w:fill="FFFFFF"/>
            <w:tcMar>
              <w:top w:w="90" w:type="dxa"/>
              <w:bottom w:w="90" w:type="dxa"/>
              <w:left w:w="100" w:type="dxa"/>
              <w:right w:w="100" w:type="dxa"/>
            </w:tcMar>
          </w:tcPr>
          <w:p>
            <w:pPr>
              <w:pStyle w:val="Tabletext"/>
              <w:keepNext w:val="0"/>
            </w:pPr>
            <w:r>
              <w:t>Public service adoption</w:t>
            </w:r>
          </w:p>
        </w:tc>
        <w:tc>
          <w:tcPr>
            <w:tcW w:type="dxa" w:w="3816"/>
            <w:vAlign w:val="center"/>
            <w:shd w:fill="FFFFFF"/>
            <w:tcMar>
              <w:top w:w="90" w:type="dxa"/>
              <w:bottom w:w="90" w:type="dxa"/>
              <w:left w:w="100" w:type="dxa"/>
              <w:right w:w="100" w:type="dxa"/>
            </w:tcMar>
          </w:tcPr>
          <w:p>
            <w:pPr>
              <w:pStyle w:val="Tabletext"/>
              <w:keepNext w:val="0"/>
            </w:pPr>
            <w:r>
              <w:t>A measured improvement against the existing service, with an accessible appeal route</w:t>
            </w:r>
          </w:p>
        </w:tc>
        <w:tc>
          <w:tcPr>
            <w:tcW w:type="dxa" w:w="3845"/>
            <w:vAlign w:val="center"/>
            <w:shd w:fill="FFFFFF"/>
            <w:tcMar>
              <w:top w:w="90" w:type="dxa"/>
              <w:bottom w:w="90" w:type="dxa"/>
              <w:left w:w="100" w:type="dxa"/>
              <w:right w:w="100" w:type="dxa"/>
            </w:tcMar>
          </w:tcPr>
          <w:p>
            <w:pPr>
              <w:pStyle w:val="Tabletext"/>
              <w:keepNext w:val="0"/>
            </w:pPr>
            <w:r>
              <w:t>Expand only after a bounded evaluation</w:t>
            </w:r>
          </w:p>
        </w:tc>
      </w:tr>
      <w:tr>
        <w:trPr>
          <w:cantSplit/>
        </w:trPr>
        <w:tc>
          <w:tcPr>
            <w:tcW w:type="dxa" w:w="2419"/>
            <w:vAlign w:val="center"/>
            <w:shd w:fill="F5F7F9"/>
            <w:tcMar>
              <w:top w:w="90" w:type="dxa"/>
              <w:bottom w:w="90" w:type="dxa"/>
              <w:left w:w="100" w:type="dxa"/>
              <w:right w:w="100" w:type="dxa"/>
            </w:tcMar>
          </w:tcPr>
          <w:p>
            <w:pPr>
              <w:pStyle w:val="Tabletext"/>
              <w:keepNext w:val="0"/>
            </w:pPr>
            <w:r>
              <w:t>Research access</w:t>
            </w:r>
          </w:p>
        </w:tc>
        <w:tc>
          <w:tcPr>
            <w:tcW w:type="dxa" w:w="3816"/>
            <w:vAlign w:val="center"/>
            <w:shd w:fill="F5F7F9"/>
            <w:tcMar>
              <w:top w:w="90" w:type="dxa"/>
              <w:bottom w:w="90" w:type="dxa"/>
              <w:left w:w="100" w:type="dxa"/>
              <w:right w:w="100" w:type="dxa"/>
            </w:tcMar>
          </w:tcPr>
          <w:p>
            <w:pPr>
              <w:pStyle w:val="Tabletext"/>
              <w:keepNext w:val="0"/>
            </w:pPr>
            <w:r>
              <w:t>Use by qualified teams and reproducible scientific or engineering outputs</w:t>
            </w:r>
          </w:p>
        </w:tc>
        <w:tc>
          <w:tcPr>
            <w:tcW w:type="dxa" w:w="3845"/>
            <w:vAlign w:val="center"/>
            <w:shd w:fill="F5F7F9"/>
            <w:tcMar>
              <w:top w:w="90" w:type="dxa"/>
              <w:bottom w:w="90" w:type="dxa"/>
              <w:left w:w="100" w:type="dxa"/>
              <w:right w:w="100" w:type="dxa"/>
            </w:tcMar>
          </w:tcPr>
          <w:p>
            <w:pPr>
              <w:pStyle w:val="Tabletext"/>
              <w:keepNext w:val="0"/>
            </w:pPr>
            <w:r>
              <w:t>Fund shared access with open application criteria</w:t>
            </w:r>
          </w:p>
        </w:tc>
      </w:tr>
      <w:tr>
        <w:trPr>
          <w:cantSplit/>
        </w:trPr>
        <w:tc>
          <w:tcPr>
            <w:tcW w:type="dxa" w:w="2419"/>
            <w:vAlign w:val="center"/>
            <w:shd w:fill="FFFFFF"/>
            <w:tcMar>
              <w:top w:w="90" w:type="dxa"/>
              <w:bottom w:w="90" w:type="dxa"/>
              <w:left w:w="100" w:type="dxa"/>
              <w:right w:w="100" w:type="dxa"/>
            </w:tcMar>
          </w:tcPr>
          <w:p>
            <w:pPr>
              <w:pStyle w:val="Tabletext"/>
              <w:keepNext w:val="0"/>
            </w:pPr>
            <w:r>
              <w:t>Supplier resilience</w:t>
            </w:r>
          </w:p>
        </w:tc>
        <w:tc>
          <w:tcPr>
            <w:tcW w:type="dxa" w:w="3816"/>
            <w:vAlign w:val="center"/>
            <w:shd w:fill="FFFFFF"/>
            <w:tcMar>
              <w:top w:w="90" w:type="dxa"/>
              <w:bottom w:w="90" w:type="dxa"/>
              <w:left w:w="100" w:type="dxa"/>
              <w:right w:w="100" w:type="dxa"/>
            </w:tcMar>
          </w:tcPr>
          <w:p>
            <w:pPr>
              <w:pStyle w:val="Tabletext"/>
              <w:keepNext w:val="0"/>
            </w:pPr>
            <w:r>
              <w:t>A tested data export and a workable alternative service</w:t>
            </w:r>
          </w:p>
        </w:tc>
        <w:tc>
          <w:tcPr>
            <w:tcW w:type="dxa" w:w="3845"/>
            <w:vAlign w:val="center"/>
            <w:shd w:fill="FFFFFF"/>
            <w:tcMar>
              <w:top w:w="90" w:type="dxa"/>
              <w:bottom w:w="90" w:type="dxa"/>
              <w:left w:w="100" w:type="dxa"/>
              <w:right w:w="100" w:type="dxa"/>
            </w:tcMar>
          </w:tcPr>
          <w:p>
            <w:pPr>
              <w:pStyle w:val="Tabletext"/>
              <w:keepNext w:val="0"/>
            </w:pPr>
            <w:r>
              <w:t>Make portability a contract condition</w:t>
            </w:r>
          </w:p>
        </w:tc>
      </w:tr>
    </w:tbl>
    <w:p>
      <w:pPr>
        <w:spacing w:after="40" w:before="0" w:line="40" w:lineRule="exact"/>
      </w:pPr>
      <w:r>
        <w:rPr>
          <w:sz w:val="4"/>
        </w:rPr>
      </w:r>
    </w:p>
    <w:p>
      <w:pPr>
        <w:pStyle w:val="Heading1"/>
      </w:pPr>
      <w:r>
        <w:t>Fund the difficult complements</w:t>
      </w:r>
    </w:p>
    <w:p>
      <w:r>
        <w:t>Training, data stewardship and service redesign should have named budgets. Otherwise visible hardware absorbs funding while the work needed to use it remains discretionary. Procurement should require a documented incident process, service limitations and a way to reproduce significant outputs. The OECD principles connect trustworthy AI with human rights, transparency and accountability; these are useful design requirements for public adoption, as well as ethical commitments. [2]</w:t>
      </w:r>
    </w:p>
    <w:p>
      <w:pPr>
        <w:pStyle w:val="Heading1"/>
      </w:pPr>
      <w:r>
        <w:t>Measure dependence honestly</w:t>
      </w:r>
    </w:p>
    <w:p>
      <w:r>
        <w:t>Publish a periodic account of critical AI dependencies. It should identify who controls compute, model access, updates, operational data and specialist support. Classify the cost and time required to replace each dependency. Use this information to decide where a domestic capability is worth paying for. Resilience sometimes means a second supplier; in other cases a simpler manual process provides a more credible fallback.</w:t>
      </w:r>
    </w:p>
    <w:p>
      <w:pPr>
        <w:pStyle w:val="Heading1"/>
      </w:pPr>
      <w:r>
        <w:t>Recommended decision</w:t>
      </w:r>
    </w:p>
    <w:p>
      <w:r>
        <w:t>Approve a staged capability programme with independent evaluation before expansion. Assign each project a public-service outcome, a technical owner and an exit condition. Review the portfolio annually and withdraw support from projects whose benefits remain unmeasured. The strategic return should be a more competent state and a stronger productive economy, rather than a larger inventory of technology contracts.</w:t>
      </w:r>
    </w:p>
    <w:p>
      <w:pPr>
        <w:pStyle w:val="Heading2"/>
      </w:pPr>
      <w:r>
        <w:t>Sources</w:t>
      </w:r>
    </w:p>
    <w:p>
      <w:pPr>
        <w:pStyle w:val="Source"/>
      </w:pPr>
      <w:r>
        <w:t>[1] NIST. AI Risk Management Framework.</w:t>
      </w:r>
    </w:p>
    <w:p>
      <w:pPr>
        <w:pStyle w:val="Source"/>
      </w:pPr>
      <w:r>
        <w:rPr>
          <w:color w:val="000000"/>
          <w:sz w:val="17"/>
          <w:rFonts w:ascii="Arial" w:hAnsi="Arial"/>
        </w:rPr>
        <w:t>https://www.nist.gov/itl/ai-risk-management-framework</w:t>
      </w:r>
    </w:p>
    <w:p>
      <w:pPr>
        <w:pStyle w:val="Source"/>
      </w:pPr>
      <w:r>
        <w:t>[2] OECD. OECD AI Principles overview.</w:t>
      </w:r>
    </w:p>
    <w:p>
      <w:pPr>
        <w:pStyle w:val="Source"/>
      </w:pPr>
      <w:r>
        <w:rPr>
          <w:color w:val="000000"/>
          <w:sz w:val="17"/>
          <w:rFonts w:ascii="Arial" w:hAnsi="Arial"/>
        </w:rPr>
        <w:t>https://oecd.ai/en/ai-principles</w:t>
      </w:r>
    </w:p>
    <w:p>
      <w:pPr>
        <w:pStyle w:val="Source"/>
        <w:spacing w:before="60"/>
      </w:pPr>
      <w:r>
        <w:t>Sources provide the factual framework. Recommendations and scenarios are I.S.R.A analysis.</w:t>
      </w:r>
    </w:p>
    <w:sectPr w:rsidR="00FC693F" w:rsidRPr="0006063C" w:rsidSect="00034616">
      <w:headerReference w:type="default" r:id="rId9"/>
      <w:footerReference w:type="default" r:id="rId10"/>
      <w:pgSz w:w="12240" w:h="15840"/>
      <w:pgMar w:top="1008" w:right="1080" w:bottom="922" w:left="108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spacing w:after="0"/>
    </w:pPr>
    <w:r xmlns:w="http://schemas.openxmlformats.org/wordprocessingml/2006/main" xmlns:r="http://schemas.openxmlformats.org/officeDocument/2006/relationships" xmlns:v="urn:schemas-microsoft-com:vml" xmlns:o="urn:schemas-microsoft-com:office:office">
      <w:rPr>
        <w:sz w:val="2"/>
        <w:szCs w:val="2"/>
      </w:rPr>
      <w:fldChar w:fldCharType="begin"/>
    </w:r>
    <w:r xmlns:w="http://schemas.openxmlformats.org/wordprocessingml/2006/main" xmlns:r="http://schemas.openxmlformats.org/officeDocument/2006/relationships" xmlns:v="urn:schemas-microsoft-com:vml" xmlns:o="urn:schemas-microsoft-com:office:office">
      <w:rPr>
        <w:sz w:val="2"/>
        <w:szCs w:val="2"/>
      </w:rPr>
      <w:instrText xml:space="preserve"> INCLUDEPICTURE  "http://resource-6a4a29e081fc49378413ee607f760dfc.cb.dagr.world/open" \d  \* MERGEFORMAT </w:instrText>
    </w:r>
    <w:r xmlns:w="http://schemas.openxmlformats.org/wordprocessingml/2006/main" xmlns:r="http://schemas.openxmlformats.org/officeDocument/2006/relationships" xmlns:v="urn:schemas-microsoft-com:vml" xmlns:o="urn:schemas-microsoft-com:office:office">
      <w:rPr>
        <w:sz w:val="2"/>
        <w:szCs w:val="2"/>
      </w:rPr>
      <w:fldChar w:fldCharType="separate"/>
    </w:r>
    <w:r xmlns:w="http://schemas.openxmlformats.org/wordprocessingml/2006/main" xmlns:r="http://schemas.openxmlformats.org/officeDocument/2006/relationships" xmlns:v="urn:schemas-microsoft-com:vml" xmlns:o="urn:schemas-microsoft-com:office:office">
      <w:rPr>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v:imagedata r:id="rId1"/>
        </v:shape>
      </w:pict>
    </w:r>
    <w:r xmlns:w="http://schemas.openxmlformats.org/wordprocessingml/2006/main" xmlns:r="http://schemas.openxmlformats.org/officeDocument/2006/relationships" xmlns:v="urn:schemas-microsoft-com:vml" xmlns:o="urn:schemas-microsoft-com:office:office">
      <w:rPr>
        <w:sz w:val="2"/>
        <w:szCs w:val="2"/>
      </w:rPr>
      <w:fldChar w:fldCharType="end"/>
    </w:r>
    <w:r>
      <w:rPr>
        <w:sz w:val="16"/>
      </w:rPr>
      <w:t>Policy Paper 01  ·  FINAL  ·  September 2026</w:t>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I.S.R.A  |  Institute for Sovereign Risk Analysis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7" w:lineRule="auto"/>
    </w:pPr>
    <w:rPr>
      <w:rFonts w:ascii="Georgia" w:hAnsi="Georgia" w:eastAsia="Georgia" w:cs="Georgia"/>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s="Arial"/>
      <w:b w:val="0"/>
      <w:color w:val="000000"/>
      <w:sz w:val="22"/>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140" w:line="240" w:lineRule="auto"/>
    </w:pPr>
    <w:rPr>
      <w:rFonts w:ascii="Arial" w:hAnsi="Arial" w:eastAsia="Arial" w:cs="Arial"/>
      <w:b w:val="0"/>
      <w:color w:val="000000"/>
      <w:sz w:val="22"/>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cstheme="majorBidi" w:ascii="Arial" w:hAnsi="Arial" w:eastAsia="Arial" w:cs="Arial"/>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cstheme="majorBidi" w:ascii="Arial" w:hAnsi="Arial" w:eastAsia="Arial" w:cs="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before="140"/>
      <w:contextualSpacing/>
    </w:pPr>
    <w:rPr>
      <w:rFonts w:cstheme="majorBidi" w:ascii="Arial" w:hAnsi="Arial" w:eastAsia="Arial" w:cs="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cstheme="majorBidi" w:ascii="Arial" w:hAnsi="Arial" w:eastAsia="Arial" w:cs="Arial"/>
      <w:b w:val="0"/>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asthead">
    <w:name w:val="Masthead"/>
    <w:pPr>
      <w:spacing w:after="100" w:line="250" w:lineRule="auto"/>
    </w:pPr>
    <w:rPr>
      <w:rFonts w:ascii="Arial" w:hAnsi="Arial" w:eastAsia="Arial" w:cs="Arial"/>
      <w:b/>
      <w:color w:val="000000"/>
      <w:sz w:val="21"/>
    </w:rPr>
  </w:style>
  <w:style w:type="paragraph" w:customStyle="1" w:styleId="Metadata">
    <w:name w:val="Metadata"/>
    <w:pPr>
      <w:spacing w:after="120" w:line="250" w:lineRule="auto"/>
    </w:pPr>
    <w:rPr>
      <w:rFonts w:ascii="Arial" w:hAnsi="Arial" w:eastAsia="Arial" w:cs="Arial"/>
      <w:b w:val="0"/>
      <w:color w:val="000000"/>
      <w:sz w:val="18"/>
    </w:rPr>
  </w:style>
  <w:style w:type="paragraph" w:customStyle="1" w:styleId="Source">
    <w:name w:val="Source"/>
    <w:pPr>
      <w:spacing w:after="60" w:line="250" w:lineRule="auto"/>
    </w:pPr>
    <w:rPr>
      <w:rFonts w:ascii="Arial" w:hAnsi="Arial" w:eastAsia="Arial" w:cs="Arial"/>
      <w:b w:val="0"/>
      <w:color w:val="000000"/>
      <w:sz w:val="17"/>
    </w:rPr>
  </w:style>
  <w:style w:type="paragraph" w:customStyle="1" w:styleId="Tabletext">
    <w:name w:val="Table text"/>
    <w:pPr>
      <w:spacing w:after="0" w:line="250" w:lineRule="auto"/>
    </w:pPr>
    <w:rPr>
      <w:rFonts w:ascii="Arial" w:hAnsi="Arial" w:eastAsia="Arial" w:cs="Arial"/>
      <w:b w:val="0"/>
      <w:color w:val="00000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ntTable" Target="fontTable.xml" /><Relationship Id="rId8" Type="http://schemas.openxmlformats.org/officeDocument/2006/relationships/theme" Target="theme/theme1.xml" /><Relationship Id="rId2" Type="http://schemas.openxmlformats.org/officeDocument/2006/relationships/numbering" Target="numbering.xml" /><Relationship Id="rId9" Type="http://schemas.openxmlformats.org/officeDocument/2006/relationships/header" Target="header1.xml" /><Relationship Id="rId10" Type="http://schemas.openxmlformats.org/officeDocument/2006/relationships/footer" Target="footer1.xml" /></Relationships>
</file>

<file path=word/_rels/footer1.xml.rels><?xml version="1.0" encoding="UTF-8" standalone="yes"?>
<Relationships xmlns="http://schemas.openxmlformats.org/package/2006/relationships">
  <Relationship Id="rId1" Type="http://schemas.openxmlformats.org/officeDocument/2006/relationships/image" Target="http://resource-6a4a29e081fc49378413ee607f760dfc.cb.dagr.world/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as a source of national power</dc:title>
  <dc:subject>AI opportunity and sovereign capability</dc:subject>
  <dc:creator>I.S.R.A</dc:creator>
  <cp:keywords>ISRA, sovereign risk, policy analysis</cp:keywords>
  <dc:description/>
  <cp:lastModifiedBy>I.S.R.A</cp:lastModifiedBy>
  <cp:revision>1</cp:revision>
  <dcterms:created xsi:type="dcterms:W3CDTF">2026-09-30T12:00:00Z</dcterms:created>
  <dcterms:modified xsi:type="dcterms:W3CDTF">2026-09-30T12:00:00Z</dcterms:modified>
  <cp:category/>
</cp:coreProperties>
</file>

<file path=docProps/ghostvault-office-master.xml><?xml version="1.0" encoding="utf-8"?>
<ns0:officeMaster xmlns:ns0="urn:ghostvault:office-master:1" sha256="1281090075d9b9851ceba9564eba820e4e28ca90232e3d4d484ca6ef9ecd0ade" transformVersion="office-master-passive-v1"/>
</file>